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ng" ContentType="image/png"/>
  <Override PartName="/word/media/rId50.png" ContentType="image/png"/>
  <Override PartName="/word/media/rId45.png" ContentType="image/png"/>
  <Override PartName="/word/media/rId48.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 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3"/>
      </w:r>
      <w:r>
        <w:t xml:space="preserve"> </w:t>
      </w:r>
      <w:r>
        <w:t xml:space="preserve">Here is the text of the Law:</w:t>
      </w:r>
    </w:p>
    <w:bookmarkStart w:id="34" w:name="secrecy-of-messages."/>
    <w:p>
      <w:pPr>
        <w:pStyle w:val="Heading2"/>
      </w:pPr>
      <w:r>
        <w:t xml:space="preserve">Secrecy of Messages.</w:t>
      </w:r>
    </w:p>
    <w:bookmarkEnd w:id="34"/>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5" w:name="distance."/>
    <w:p>
      <w:pPr>
        <w:pStyle w:val="Heading2"/>
      </w:pPr>
      <w:r>
        <w:t xml:space="preserve">Distance.</w:t>
      </w:r>
    </w:p>
    <w:bookmarkEnd w:id="35"/>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6"/>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0"/>
      </w:r>
    </w:p>
    <w:bookmarkStart w:id="41" w:name="wave-lengths-and-tuning."/>
    <w:p>
      <w:pPr>
        <w:pStyle w:val="Heading2"/>
      </w:pPr>
      <w:r>
        <w:t xml:space="preserve">Wave Lengths and Tuning.</w:t>
      </w:r>
    </w:p>
    <w:bookmarkEnd w:id="41"/>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2"/>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3"/>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4"/>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6" w:name="connections-and-hook-ups."/>
    <w:p>
      <w:pPr>
        <w:pStyle w:val="Heading2"/>
      </w:pPr>
      <w:r>
        <w:t xml:space="preserve">Connections and Hook-Ups.</w:t>
      </w:r>
    </w:p>
    <w:bookmarkEnd w:id="46"/>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7" w:name="reception-of-messages."/>
    <w:p>
      <w:pPr>
        <w:pStyle w:val="Heading2"/>
      </w:pPr>
      <w:r>
        <w:t xml:space="preserve">Reception of Messages.</w:t>
      </w:r>
    </w:p>
    <w:bookmarkEnd w:id="47"/>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8"/>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49"/>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1" w:name="sending-messages."/>
    <w:p>
      <w:pPr>
        <w:pStyle w:val="Heading2"/>
      </w:pPr>
      <w:r>
        <w:t xml:space="preserve">Sending Messages.</w:t>
      </w:r>
    </w:p>
    <w:bookmarkEnd w:id="51"/>
    <w:p>
      <w:r>
        <w:t xml:space="preserve">Let us quote the law, as far as the amateur is concerned, before going any further:</w:t>
      </w:r>
    </w:p>
    <w:bookmarkStart w:id="52" w:name="the-wireless-act."/>
    <w:p>
      <w:pPr>
        <w:pStyle w:val="Heading2"/>
      </w:pPr>
      <w:r>
        <w:t xml:space="preserve">The Wireless Act.</w:t>
      </w:r>
    </w:p>
    <w:bookmarkEnd w:id="52"/>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3"/>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4" w:name="general-restrictions-on-private-station."/>
    <w:p>
      <w:pPr>
        <w:pStyle w:val="Heading2"/>
      </w:pPr>
      <w:r>
        <w:t xml:space="preserve">General Restrictions on Private Station.</w:t>
      </w:r>
    </w:p>
    <w:bookmarkEnd w:id="54"/>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5" w:name="special-restrictions-in-the-vicinities-of-government-stations."/>
    <w:p>
      <w:pPr>
        <w:pStyle w:val="Heading2"/>
      </w:pPr>
      <w:r>
        <w:t xml:space="preserve">Special Restrictions in the Vicinities of Government Stations.</w:t>
      </w:r>
    </w:p>
    <w:bookmarkEnd w:id="55"/>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6" w:name="what-the-license-is."/>
    <w:p>
      <w:pPr>
        <w:pStyle w:val="Heading2"/>
      </w:pPr>
      <w:r>
        <w:t xml:space="preserve">What the License Is.</w:t>
      </w:r>
    </w:p>
    <w:bookmarkEnd w:id="56"/>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7"/>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8"/>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59"/>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0" w:name="sending-a-message."/>
    <w:p>
      <w:pPr>
        <w:pStyle w:val="Heading2"/>
      </w:pPr>
      <w:r>
        <w:t xml:space="preserve">Sending a Message.</w:t>
      </w:r>
    </w:p>
    <w:bookmarkEnd w:id="60"/>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1"/>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r>
        <w:t xml:space="preserve"> </w:t>
      </w: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p.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t xml:space="preserve">“</w:t>
      </w:r>
      <w:r>
        <w:t xml:space="preserve">The Wireless Joker.</w:t>
      </w:r>
      <w:r>
        <w:t xml:space="preserve">”</w:t>
      </w:r>
    </w:p>
  </w:footnote>
  <w:footnote w:id="27">
    <w:p>
      <w:pPr>
        <w:pStyle w:val="FootnoteText"/>
      </w:pPr>
      <w:r>
        <w:rPr>
          <w:rStyle w:val="FootnoteRef"/>
        </w:rPr>
        <w:footnoteRef/>
      </w:r>
      <w:r>
        <w:t xml:space="preserve">See</w:t>
      </w:r>
      <w:r>
        <w:t xml:space="preserve"> </w:t>
      </w:r>
      <w:r>
        <w:t xml:space="preserve">“</w:t>
      </w:r>
      <w:r>
        <w:t xml:space="preserve">Wireless Association of America.</w:t>
      </w:r>
      <w:r>
        <w:t xml:space="preserve">”</w:t>
      </w:r>
    </w:p>
  </w:footnote>
  <w:footnote w:id="28">
    <w:p>
      <w:pPr>
        <w:pStyle w:val="FootnoteText"/>
      </w:pPr>
      <w:r>
        <w:rPr>
          <w:rStyle w:val="FootnoteRef"/>
        </w:rPr>
        <w:footnoteRef/>
      </w:r>
      <w:r>
        <w:t xml:space="preserve">See</w:t>
      </w:r>
      <w:r>
        <w:t xml:space="preserve"> </w:t>
      </w:r>
      <w:r>
        <w:t xml:space="preserve">“</w:t>
      </w:r>
      <w:r>
        <w:t xml:space="preserve">The Roberts Wireless Bill.</w:t>
      </w:r>
      <w:r>
        <w:t xml:space="preserve">”</w:t>
      </w:r>
    </w:p>
  </w:footnote>
  <w:footnote w:id="29">
    <w:p>
      <w:pPr>
        <w:pStyle w:val="FootnoteText"/>
      </w:pPr>
      <w:r>
        <w:rPr>
          <w:rStyle w:val="FootnoteRef"/>
        </w:rPr>
        <w:footnoteRef/>
      </w:r>
      <w:r>
        <w:t xml:space="preserve">See</w:t>
      </w:r>
      <w:r>
        <w:t xml:space="preserve"> </w:t>
      </w:r>
      <w:r>
        <w:t xml:space="preserve">“</w:t>
      </w:r>
      <w:r>
        <w:t xml:space="preserve">The Alexander Wireless Bill.</w:t>
      </w:r>
      <w: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 (</w:t>
      </w: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6">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7">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8">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39">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0">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3">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4">
    <w:p>
      <w:pPr>
        <w:pStyle w:val="FootnoteText"/>
      </w:pPr>
      <w:r>
        <w:rPr>
          <w:rStyle w:val="FootnoteRef"/>
        </w:rPr>
        <w:footnoteRef/>
      </w:r>
      <w:r>
        <w:t xml:space="preserve">Radio spectrum is today an endangered resource with the rapid expansion and popularity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5"/>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49">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0"/>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3">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7">
    <w:p>
      <w:pPr>
        <w:pStyle w:val="FootnoteText"/>
      </w:pPr>
      <w:r>
        <w:rPr>
          <w:rStyle w:val="FootnoteRef"/>
        </w:rPr>
        <w:footnoteRef/>
      </w:r>
      <w:r>
        <w:t xml:space="preserve">Explain variable condenser/leyden jar and oscillation transformer/helix.</w:t>
      </w:r>
    </w:p>
  </w:footnote>
  <w:footnote w:id="59">
    <w:p>
      <w:pPr>
        <w:pStyle w:val="FootnoteText"/>
      </w:pPr>
      <w:r>
        <w:rPr>
          <w:rStyle w:val="FootnoteRef"/>
        </w:rPr>
        <w:footnoteRef/>
      </w:r>
      <w:r>
        <w:t xml:space="preserve">The design of this component is first detailed by Gernsback in</w:t>
      </w:r>
      <w:r>
        <w:t xml:space="preserve"> </w:t>
      </w:r>
      <w:r>
        <w:t xml:space="preserve">“</w:t>
      </w:r>
      <w:r>
        <w:t xml:space="preserve">A New Interrupter.</w:t>
      </w:r>
      <w:r>
        <w:t xml:space="preserve">”</w:t>
      </w:r>
    </w:p>
  </w:footnote>
  <w:footnote w:id="61">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9a6f784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